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 xml:space="preserve">Five-Fold Ministry Functions from Ephesians 4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1"/>
        <w:gridCol w:w="2511"/>
        <w:gridCol w:w="1535"/>
        <w:gridCol w:w="1530"/>
        <w:gridCol w:w="2595"/>
        <w:gridCol w:w="1692"/>
        <w:gridCol w:w="1707"/>
        <w:tblGridChange w:id="0">
          <w:tblGrid>
            <w:gridCol w:w="1301"/>
            <w:gridCol w:w="2511"/>
            <w:gridCol w:w="1535"/>
            <w:gridCol w:w="1530"/>
            <w:gridCol w:w="2595"/>
            <w:gridCol w:w="1692"/>
            <w:gridCol w:w="170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Unique contributions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Biblical example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Secular example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Key partners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When a group is lacking…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When used immaturely…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Apostle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Visionary, pioneering, always pushing into new territory, leading into change.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Paul, Priscilla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Entrepreneurs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Listen to prophets to keep them from “empire building.”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Stale ministry, lack of direction or passion.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Too much change, lack of focus.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Prophet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Have a picture of what is happening, see problems and underlying connections that others don’t.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Anna and Simeon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Artists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Rely on shepherds to stay connected with felt needs of a community.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Drift away mission, drift into ethically gray areas.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Overly critical, complaining.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Evangelist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Love to bring and share good news/things to others, effective communicators and inviters.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Philip (Acts 8), woman at the well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Salespeople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Partner with teachers who help build maturity with new believers.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Group becomes exclusive, too in-ward focused.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Group becomes shallow, “mile wide and an inch deep”.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Shepherd</w:t>
            </w:r>
          </w:p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(Pastor)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Cares for others with a tender heart, provides comfort and encouragement, empathetic.</w:t>
            </w:r>
          </w:p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Barnabas, Mary of Bethany (John 8)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Social workers, counselors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Need evangelists to help move beyond borders of current community.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Cold, uncaring, sterile.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Only the “squeaky wheel gets the grease.”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Looks for ways to explain, enlighten, and apply the truth, has passion/excitement for helping others learn.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Apollos and Priscilla (Acts 18)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Teachers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Work with apostles to ensure discipleship is based not just on information, but obedience.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No grounding in Scripture, no institutional memory.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Overly academic, lack of balance, of “hearing” and “doing.”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venir" w:cs="Avenir" w:eastAsia="Avenir" w:hAnsi="Avenir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More resources: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venir" w:cs="Avenir" w:eastAsia="Avenir" w:hAnsi="Avenir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http://www.fivefoldsurvey.com/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venir" w:cs="Avenir" w:eastAsia="Avenir" w:hAnsi="Avenir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https://www.fivefoldministry.com/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venir" w:cs="Avenir" w:eastAsia="Avenir" w:hAnsi="Avenir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http://www.releasetheape.com/the-five-fold-symphony-how-the-gifts-work-together/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  <w:lang w:eastAsia="ja-JP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11F1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F4EA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F4EA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eleasetheape.com/the-five-fold-symphony-how-the-gifts-work-togethe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vefoldsurvey.com/" TargetMode="External"/><Relationship Id="rId8" Type="http://schemas.openxmlformats.org/officeDocument/2006/relationships/hyperlink" Target="https://www.fivefoldminist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PQt9dagGoUiADuuw86MECwK/w==">AMUW2mUa18CZ+pk8jto6PjAmUmiriLS+VDfUxZT7+F4trfvXdiYh3+g+D6h8hhMVAuybJHIjE5zD9leTBtGih252JZXOlZWGV8MSegRtFjIumRlsoWEgha+fzd4+l4sTmVuWYYVcbN4b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2019-11-06T04:31:00Z</dcterms:created>
  <dc:creator>Dan Shiau</dc:creator>
</cp:coreProperties>
</file>